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B8C" w:rsidRPr="00761AEA" w:rsidRDefault="0057021D">
      <w:pPr>
        <w:rPr>
          <w:rFonts w:asciiTheme="majorBidi" w:hAnsiTheme="majorBidi" w:cstheme="majorBidi"/>
          <w:b/>
          <w:bCs/>
          <w:noProof/>
          <w:sz w:val="44"/>
          <w:szCs w:val="44"/>
        </w:rPr>
      </w:pPr>
      <w:r w:rsidRPr="00761AEA">
        <w:rPr>
          <w:rFonts w:asciiTheme="majorBidi" w:hAnsiTheme="majorBidi" w:cstheme="majorBidi"/>
          <w:b/>
          <w:bCs/>
          <w:sz w:val="44"/>
          <w:szCs w:val="44"/>
        </w:rPr>
        <w:t xml:space="preserve"> </w:t>
      </w:r>
      <w:r w:rsidR="00761AEA" w:rsidRPr="00761AEA">
        <w:rPr>
          <w:rFonts w:asciiTheme="majorBidi" w:hAnsiTheme="majorBidi" w:cstheme="majorBidi"/>
          <w:b/>
          <w:bCs/>
          <w:noProof/>
          <w:sz w:val="44"/>
          <w:szCs w:val="44"/>
        </w:rPr>
        <w:t>The report on “Hate Speech in Southeast Asia: New Forms, Old Rules</w:t>
      </w:r>
    </w:p>
    <w:p w:rsidR="009A2B8C" w:rsidRDefault="00761AEA">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8890</wp:posOffset>
            </wp:positionV>
            <wp:extent cx="2000250" cy="2829121"/>
            <wp:effectExtent l="0" t="0" r="0" b="9525"/>
            <wp:wrapNone/>
            <wp:docPr id="8" name="รูปภาพ 8" descr="http://www.thaimediafund.or.th/uploads/109996627_3485178444834692_853651607629680884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aimediafund.or.th/uploads/109996627_3485178444834692_8536516076296808849_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28291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2B8C" w:rsidRDefault="009A2B8C"/>
    <w:p w:rsidR="009A2B8C" w:rsidRDefault="009A2B8C"/>
    <w:p w:rsidR="009A2B8C" w:rsidRDefault="009A2B8C"/>
    <w:p w:rsidR="009A2B8C" w:rsidRDefault="009A2B8C"/>
    <w:p w:rsidR="006B5372" w:rsidRDefault="006B5372" w:rsidP="006B5372">
      <w:pPr>
        <w:pStyle w:val="a3"/>
        <w:ind w:firstLine="720"/>
        <w:rPr>
          <w:rFonts w:asciiTheme="majorBidi" w:hAnsiTheme="majorBidi" w:cstheme="majorBidi"/>
          <w:sz w:val="36"/>
          <w:szCs w:val="36"/>
        </w:rPr>
      </w:pPr>
    </w:p>
    <w:p w:rsidR="0057021D" w:rsidRDefault="0057021D" w:rsidP="006B5372">
      <w:pPr>
        <w:pStyle w:val="a3"/>
        <w:ind w:firstLine="720"/>
        <w:rPr>
          <w:rFonts w:asciiTheme="majorBidi" w:hAnsiTheme="majorBidi" w:cstheme="majorBidi"/>
          <w:sz w:val="36"/>
          <w:szCs w:val="36"/>
        </w:rPr>
      </w:pPr>
    </w:p>
    <w:p w:rsidR="0057021D" w:rsidRDefault="0057021D" w:rsidP="006B5372">
      <w:pPr>
        <w:pStyle w:val="a3"/>
        <w:ind w:firstLine="720"/>
        <w:rPr>
          <w:rFonts w:asciiTheme="majorBidi" w:hAnsiTheme="majorBidi" w:cstheme="majorBidi"/>
          <w:sz w:val="36"/>
          <w:szCs w:val="36"/>
        </w:rPr>
      </w:pPr>
    </w:p>
    <w:p w:rsidR="0057021D" w:rsidRDefault="0057021D" w:rsidP="006B5372">
      <w:pPr>
        <w:pStyle w:val="a3"/>
        <w:ind w:firstLine="720"/>
        <w:rPr>
          <w:rFonts w:asciiTheme="majorBidi" w:hAnsiTheme="majorBidi" w:cstheme="majorBidi"/>
          <w:sz w:val="36"/>
          <w:szCs w:val="36"/>
        </w:rPr>
      </w:pPr>
    </w:p>
    <w:p w:rsidR="0057021D" w:rsidRDefault="0057021D" w:rsidP="006B5372">
      <w:pPr>
        <w:pStyle w:val="a3"/>
        <w:ind w:firstLine="720"/>
        <w:rPr>
          <w:rFonts w:asciiTheme="majorBidi" w:hAnsiTheme="majorBidi" w:cstheme="majorBidi"/>
          <w:sz w:val="36"/>
          <w:szCs w:val="36"/>
        </w:rPr>
      </w:pPr>
    </w:p>
    <w:p w:rsidR="00761AEA" w:rsidRPr="00761AEA" w:rsidRDefault="00761AEA" w:rsidP="00761AEA">
      <w:pPr>
        <w:pStyle w:val="a3"/>
        <w:ind w:firstLine="720"/>
        <w:rPr>
          <w:rFonts w:asciiTheme="majorBidi" w:hAnsiTheme="majorBidi" w:cstheme="majorBidi"/>
          <w:sz w:val="36"/>
          <w:szCs w:val="36"/>
        </w:rPr>
      </w:pPr>
      <w:r w:rsidRPr="00761AEA">
        <w:rPr>
          <w:rFonts w:asciiTheme="majorBidi" w:hAnsiTheme="majorBidi" w:cstheme="majorBidi"/>
          <w:sz w:val="36"/>
          <w:szCs w:val="36"/>
        </w:rPr>
        <w:t xml:space="preserve">The Thai Media Fund supports Asia Centre in doing a report “Hate Speech in Southeast Asia: New Forms, Old Rules,” which is one of the projects under the 2019 Memorandum of Cooperation (MOC) between Thai Media Fund and Asia Centre. </w:t>
      </w:r>
    </w:p>
    <w:p w:rsidR="00761AEA" w:rsidRPr="00761AEA" w:rsidRDefault="00761AEA" w:rsidP="00761AEA">
      <w:pPr>
        <w:pStyle w:val="a3"/>
        <w:ind w:firstLine="720"/>
        <w:rPr>
          <w:rFonts w:asciiTheme="majorBidi" w:hAnsiTheme="majorBidi" w:cstheme="majorBidi"/>
          <w:sz w:val="36"/>
          <w:szCs w:val="36"/>
        </w:rPr>
      </w:pPr>
    </w:p>
    <w:p w:rsidR="00761AEA" w:rsidRPr="00761AEA" w:rsidRDefault="00761AEA" w:rsidP="00761AEA">
      <w:pPr>
        <w:pStyle w:val="a3"/>
        <w:ind w:firstLine="720"/>
        <w:rPr>
          <w:rFonts w:asciiTheme="majorBidi" w:hAnsiTheme="majorBidi" w:cstheme="majorBidi"/>
          <w:sz w:val="36"/>
          <w:szCs w:val="36"/>
        </w:rPr>
      </w:pPr>
      <w:r w:rsidRPr="00761AEA">
        <w:rPr>
          <w:rFonts w:asciiTheme="majorBidi" w:hAnsiTheme="majorBidi" w:cstheme="majorBidi"/>
          <w:sz w:val="36"/>
          <w:szCs w:val="36"/>
        </w:rPr>
        <w:t>The report describes the status quo and current issues leading to discrimination, violence, and communal strife in the region. It examines the legal framework</w:t>
      </w:r>
      <w:proofErr w:type="gramStart"/>
      <w:r w:rsidRPr="00761AEA">
        <w:rPr>
          <w:rFonts w:asciiTheme="majorBidi" w:hAnsiTheme="majorBidi" w:cstheme="majorBidi"/>
          <w:sz w:val="36"/>
          <w:szCs w:val="36"/>
        </w:rPr>
        <w:t>, in particular, a</w:t>
      </w:r>
      <w:proofErr w:type="gramEnd"/>
      <w:r w:rsidRPr="00761AEA">
        <w:rPr>
          <w:rFonts w:asciiTheme="majorBidi" w:hAnsiTheme="majorBidi" w:cstheme="majorBidi"/>
          <w:sz w:val="36"/>
          <w:szCs w:val="36"/>
        </w:rPr>
        <w:t xml:space="preserve"> slew of “harmony” bills aimed at securing social, racial or religious harmony as well as non – legal measures to foster social </w:t>
      </w:r>
      <w:bookmarkStart w:id="0" w:name="_GoBack"/>
      <w:bookmarkEnd w:id="0"/>
      <w:r w:rsidRPr="00761AEA">
        <w:rPr>
          <w:rFonts w:asciiTheme="majorBidi" w:hAnsiTheme="majorBidi" w:cstheme="majorBidi"/>
          <w:sz w:val="36"/>
          <w:szCs w:val="36"/>
        </w:rPr>
        <w:t xml:space="preserve">cohesion, interfaith dialogues, and social harmony. </w:t>
      </w:r>
    </w:p>
    <w:p w:rsidR="00761AEA" w:rsidRPr="00761AEA" w:rsidRDefault="00761AEA" w:rsidP="00761AEA">
      <w:pPr>
        <w:pStyle w:val="a3"/>
        <w:ind w:firstLine="720"/>
        <w:rPr>
          <w:rFonts w:asciiTheme="majorBidi" w:hAnsiTheme="majorBidi" w:cstheme="majorBidi"/>
          <w:sz w:val="36"/>
          <w:szCs w:val="36"/>
        </w:rPr>
      </w:pPr>
    </w:p>
    <w:p w:rsidR="00761AEA" w:rsidRPr="00761AEA" w:rsidRDefault="00761AEA" w:rsidP="00761AEA">
      <w:pPr>
        <w:pStyle w:val="a3"/>
        <w:ind w:firstLine="720"/>
        <w:rPr>
          <w:rFonts w:asciiTheme="majorBidi" w:hAnsiTheme="majorBidi" w:cstheme="majorBidi"/>
          <w:sz w:val="36"/>
          <w:szCs w:val="36"/>
        </w:rPr>
      </w:pPr>
      <w:r w:rsidRPr="00761AEA">
        <w:rPr>
          <w:rFonts w:asciiTheme="majorBidi" w:hAnsiTheme="majorBidi" w:cstheme="majorBidi"/>
          <w:sz w:val="36"/>
          <w:szCs w:val="36"/>
        </w:rPr>
        <w:t xml:space="preserve">It also evaluates states in Southeast Asia that signed the International Convention on the Elimination of All Forms of Racial Discrimination (ICERD). The study recommends a range of measures to alleviate the challenges arising from hate speech. Among them is a primary recommendation to officially recognize newer forms of hate speech and a set of secondary recommendations to promote understanding and diversity. </w:t>
      </w:r>
    </w:p>
    <w:p w:rsidR="00761AEA" w:rsidRPr="00761AEA" w:rsidRDefault="00761AEA" w:rsidP="00761AEA">
      <w:pPr>
        <w:pStyle w:val="a3"/>
        <w:ind w:firstLine="720"/>
        <w:rPr>
          <w:rFonts w:asciiTheme="majorBidi" w:hAnsiTheme="majorBidi" w:cstheme="majorBidi"/>
          <w:sz w:val="36"/>
          <w:szCs w:val="36"/>
        </w:rPr>
      </w:pPr>
    </w:p>
    <w:p w:rsidR="00761AEA" w:rsidRPr="006B5372" w:rsidRDefault="00761AEA" w:rsidP="00761AEA">
      <w:pPr>
        <w:pStyle w:val="a3"/>
        <w:ind w:firstLine="720"/>
        <w:rPr>
          <w:rFonts w:asciiTheme="majorBidi" w:hAnsiTheme="majorBidi" w:cstheme="majorBidi"/>
          <w:sz w:val="36"/>
          <w:szCs w:val="36"/>
        </w:rPr>
      </w:pPr>
      <w:r w:rsidRPr="00761AEA">
        <w:rPr>
          <w:rFonts w:asciiTheme="majorBidi" w:hAnsiTheme="majorBidi" w:cstheme="majorBidi"/>
          <w:sz w:val="36"/>
          <w:szCs w:val="36"/>
        </w:rPr>
        <w:t>TMF strongly supports and promotes digital and media literacy in Thai society with the aim to accomplish its vision which is “People can access, understand and be able to use media wisely, safely and constructively within a good media ecosystem”.</w:t>
      </w:r>
    </w:p>
    <w:sectPr w:rsidR="00761AEA" w:rsidRPr="006B5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8C"/>
    <w:rsid w:val="0024229F"/>
    <w:rsid w:val="0057021D"/>
    <w:rsid w:val="005C4006"/>
    <w:rsid w:val="006B5372"/>
    <w:rsid w:val="00761AEA"/>
    <w:rsid w:val="009A2B8C"/>
    <w:rsid w:val="00A346A4"/>
    <w:rsid w:val="00C271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430C"/>
  <w15:chartTrackingRefBased/>
  <w15:docId w15:val="{A1A04C77-87EB-4CBE-A3C3-5F2CA7F7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4805">
      <w:bodyDiv w:val="1"/>
      <w:marLeft w:val="0"/>
      <w:marRight w:val="0"/>
      <w:marTop w:val="0"/>
      <w:marBottom w:val="0"/>
      <w:divBdr>
        <w:top w:val="none" w:sz="0" w:space="0" w:color="auto"/>
        <w:left w:val="none" w:sz="0" w:space="0" w:color="auto"/>
        <w:bottom w:val="none" w:sz="0" w:space="0" w:color="auto"/>
        <w:right w:val="none" w:sz="0" w:space="0" w:color="auto"/>
      </w:divBdr>
    </w:div>
    <w:div w:id="296423070">
      <w:bodyDiv w:val="1"/>
      <w:marLeft w:val="0"/>
      <w:marRight w:val="0"/>
      <w:marTop w:val="0"/>
      <w:marBottom w:val="0"/>
      <w:divBdr>
        <w:top w:val="none" w:sz="0" w:space="0" w:color="auto"/>
        <w:left w:val="none" w:sz="0" w:space="0" w:color="auto"/>
        <w:bottom w:val="none" w:sz="0" w:space="0" w:color="auto"/>
        <w:right w:val="none" w:sz="0" w:space="0" w:color="auto"/>
      </w:divBdr>
    </w:div>
    <w:div w:id="413818656">
      <w:bodyDiv w:val="1"/>
      <w:marLeft w:val="0"/>
      <w:marRight w:val="0"/>
      <w:marTop w:val="0"/>
      <w:marBottom w:val="0"/>
      <w:divBdr>
        <w:top w:val="none" w:sz="0" w:space="0" w:color="auto"/>
        <w:left w:val="none" w:sz="0" w:space="0" w:color="auto"/>
        <w:bottom w:val="none" w:sz="0" w:space="0" w:color="auto"/>
        <w:right w:val="none" w:sz="0" w:space="0" w:color="auto"/>
      </w:divBdr>
    </w:div>
    <w:div w:id="562788925">
      <w:bodyDiv w:val="1"/>
      <w:marLeft w:val="0"/>
      <w:marRight w:val="0"/>
      <w:marTop w:val="0"/>
      <w:marBottom w:val="0"/>
      <w:divBdr>
        <w:top w:val="none" w:sz="0" w:space="0" w:color="auto"/>
        <w:left w:val="none" w:sz="0" w:space="0" w:color="auto"/>
        <w:bottom w:val="none" w:sz="0" w:space="0" w:color="auto"/>
        <w:right w:val="none" w:sz="0" w:space="0" w:color="auto"/>
      </w:divBdr>
    </w:div>
    <w:div w:id="739324895">
      <w:bodyDiv w:val="1"/>
      <w:marLeft w:val="0"/>
      <w:marRight w:val="0"/>
      <w:marTop w:val="0"/>
      <w:marBottom w:val="0"/>
      <w:divBdr>
        <w:top w:val="none" w:sz="0" w:space="0" w:color="auto"/>
        <w:left w:val="none" w:sz="0" w:space="0" w:color="auto"/>
        <w:bottom w:val="none" w:sz="0" w:space="0" w:color="auto"/>
        <w:right w:val="none" w:sz="0" w:space="0" w:color="auto"/>
      </w:divBdr>
    </w:div>
    <w:div w:id="833834003">
      <w:bodyDiv w:val="1"/>
      <w:marLeft w:val="0"/>
      <w:marRight w:val="0"/>
      <w:marTop w:val="0"/>
      <w:marBottom w:val="0"/>
      <w:divBdr>
        <w:top w:val="none" w:sz="0" w:space="0" w:color="auto"/>
        <w:left w:val="none" w:sz="0" w:space="0" w:color="auto"/>
        <w:bottom w:val="none" w:sz="0" w:space="0" w:color="auto"/>
        <w:right w:val="none" w:sz="0" w:space="0" w:color="auto"/>
      </w:divBdr>
      <w:divsChild>
        <w:div w:id="889458271">
          <w:marLeft w:val="0"/>
          <w:marRight w:val="0"/>
          <w:marTop w:val="0"/>
          <w:marBottom w:val="225"/>
          <w:divBdr>
            <w:top w:val="none" w:sz="0" w:space="0" w:color="auto"/>
            <w:left w:val="none" w:sz="0" w:space="0" w:color="auto"/>
            <w:bottom w:val="none" w:sz="0" w:space="0" w:color="auto"/>
            <w:right w:val="none" w:sz="0" w:space="0" w:color="auto"/>
          </w:divBdr>
          <w:divsChild>
            <w:div w:id="2025933477">
              <w:marLeft w:val="0"/>
              <w:marRight w:val="0"/>
              <w:marTop w:val="0"/>
              <w:marBottom w:val="0"/>
              <w:divBdr>
                <w:top w:val="none" w:sz="0" w:space="0" w:color="auto"/>
                <w:left w:val="none" w:sz="0" w:space="0" w:color="auto"/>
                <w:bottom w:val="none" w:sz="0" w:space="0" w:color="auto"/>
                <w:right w:val="none" w:sz="0" w:space="0" w:color="auto"/>
              </w:divBdr>
            </w:div>
          </w:divsChild>
        </w:div>
        <w:div w:id="1488789991">
          <w:marLeft w:val="0"/>
          <w:marRight w:val="0"/>
          <w:marTop w:val="0"/>
          <w:marBottom w:val="225"/>
          <w:divBdr>
            <w:top w:val="none" w:sz="0" w:space="0" w:color="auto"/>
            <w:left w:val="none" w:sz="0" w:space="0" w:color="auto"/>
            <w:bottom w:val="none" w:sz="0" w:space="0" w:color="auto"/>
            <w:right w:val="none" w:sz="0" w:space="0" w:color="auto"/>
          </w:divBdr>
          <w:divsChild>
            <w:div w:id="1418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2727">
      <w:bodyDiv w:val="1"/>
      <w:marLeft w:val="0"/>
      <w:marRight w:val="0"/>
      <w:marTop w:val="0"/>
      <w:marBottom w:val="0"/>
      <w:divBdr>
        <w:top w:val="none" w:sz="0" w:space="0" w:color="auto"/>
        <w:left w:val="none" w:sz="0" w:space="0" w:color="auto"/>
        <w:bottom w:val="none" w:sz="0" w:space="0" w:color="auto"/>
        <w:right w:val="none" w:sz="0" w:space="0" w:color="auto"/>
      </w:divBdr>
    </w:div>
    <w:div w:id="869880846">
      <w:bodyDiv w:val="1"/>
      <w:marLeft w:val="0"/>
      <w:marRight w:val="0"/>
      <w:marTop w:val="0"/>
      <w:marBottom w:val="0"/>
      <w:divBdr>
        <w:top w:val="none" w:sz="0" w:space="0" w:color="auto"/>
        <w:left w:val="none" w:sz="0" w:space="0" w:color="auto"/>
        <w:bottom w:val="none" w:sz="0" w:space="0" w:color="auto"/>
        <w:right w:val="none" w:sz="0" w:space="0" w:color="auto"/>
      </w:divBdr>
    </w:div>
    <w:div w:id="998727465">
      <w:bodyDiv w:val="1"/>
      <w:marLeft w:val="0"/>
      <w:marRight w:val="0"/>
      <w:marTop w:val="0"/>
      <w:marBottom w:val="0"/>
      <w:divBdr>
        <w:top w:val="none" w:sz="0" w:space="0" w:color="auto"/>
        <w:left w:val="none" w:sz="0" w:space="0" w:color="auto"/>
        <w:bottom w:val="none" w:sz="0" w:space="0" w:color="auto"/>
        <w:right w:val="none" w:sz="0" w:space="0" w:color="auto"/>
      </w:divBdr>
    </w:div>
    <w:div w:id="1598753909">
      <w:bodyDiv w:val="1"/>
      <w:marLeft w:val="0"/>
      <w:marRight w:val="0"/>
      <w:marTop w:val="0"/>
      <w:marBottom w:val="0"/>
      <w:divBdr>
        <w:top w:val="none" w:sz="0" w:space="0" w:color="auto"/>
        <w:left w:val="none" w:sz="0" w:space="0" w:color="auto"/>
        <w:bottom w:val="none" w:sz="0" w:space="0" w:color="auto"/>
        <w:right w:val="none" w:sz="0" w:space="0" w:color="auto"/>
      </w:divBdr>
    </w:div>
    <w:div w:id="2065323482">
      <w:bodyDiv w:val="1"/>
      <w:marLeft w:val="0"/>
      <w:marRight w:val="0"/>
      <w:marTop w:val="0"/>
      <w:marBottom w:val="0"/>
      <w:divBdr>
        <w:top w:val="none" w:sz="0" w:space="0" w:color="auto"/>
        <w:left w:val="none" w:sz="0" w:space="0" w:color="auto"/>
        <w:bottom w:val="none" w:sz="0" w:space="0" w:color="auto"/>
        <w:right w:val="none" w:sz="0" w:space="0" w:color="auto"/>
      </w:divBdr>
      <w:divsChild>
        <w:div w:id="1401978824">
          <w:marLeft w:val="375"/>
          <w:marRight w:val="0"/>
          <w:marTop w:val="0"/>
          <w:marBottom w:val="0"/>
          <w:divBdr>
            <w:top w:val="none" w:sz="0" w:space="0" w:color="auto"/>
            <w:left w:val="none" w:sz="0" w:space="0" w:color="auto"/>
            <w:bottom w:val="none" w:sz="0" w:space="0" w:color="auto"/>
            <w:right w:val="none" w:sz="0" w:space="0" w:color="auto"/>
          </w:divBdr>
        </w:div>
        <w:div w:id="1517038923">
          <w:marLeft w:val="375"/>
          <w:marRight w:val="0"/>
          <w:marTop w:val="0"/>
          <w:marBottom w:val="0"/>
          <w:divBdr>
            <w:top w:val="none" w:sz="0" w:space="0" w:color="auto"/>
            <w:left w:val="none" w:sz="0" w:space="0" w:color="auto"/>
            <w:bottom w:val="none" w:sz="0" w:space="0" w:color="auto"/>
            <w:right w:val="none" w:sz="0" w:space="0" w:color="auto"/>
          </w:divBdr>
        </w:div>
        <w:div w:id="993265653">
          <w:marLeft w:val="375"/>
          <w:marRight w:val="0"/>
          <w:marTop w:val="0"/>
          <w:marBottom w:val="0"/>
          <w:divBdr>
            <w:top w:val="none" w:sz="0" w:space="0" w:color="auto"/>
            <w:left w:val="none" w:sz="0" w:space="0" w:color="auto"/>
            <w:bottom w:val="none" w:sz="0" w:space="0" w:color="auto"/>
            <w:right w:val="none" w:sz="0" w:space="0" w:color="auto"/>
          </w:divBdr>
        </w:div>
        <w:div w:id="1122646727">
          <w:marLeft w:val="375"/>
          <w:marRight w:val="0"/>
          <w:marTop w:val="0"/>
          <w:marBottom w:val="0"/>
          <w:divBdr>
            <w:top w:val="none" w:sz="0" w:space="0" w:color="auto"/>
            <w:left w:val="none" w:sz="0" w:space="0" w:color="auto"/>
            <w:bottom w:val="none" w:sz="0" w:space="0" w:color="auto"/>
            <w:right w:val="none" w:sz="0" w:space="0" w:color="auto"/>
          </w:divBdr>
        </w:div>
        <w:div w:id="2082629826">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BC34DE0643A42B30C3857208698FE" ma:contentTypeVersion="12" ma:contentTypeDescription="Create a new document." ma:contentTypeScope="" ma:versionID="127b914702bed14b8e1c9e38b3145e7d">
  <xsd:schema xmlns:xsd="http://www.w3.org/2001/XMLSchema" xmlns:xs="http://www.w3.org/2001/XMLSchema" xmlns:p="http://schemas.microsoft.com/office/2006/metadata/properties" xmlns:ns2="6f75032b-ea57-44ce-b644-28930771b020" xmlns:ns3="ac6c4862-c9a9-4253-b5c2-9b2b74525135" targetNamespace="http://schemas.microsoft.com/office/2006/metadata/properties" ma:root="true" ma:fieldsID="e173b943986a10d0917f9e85a124b8a2" ns2:_="" ns3:_="">
    <xsd:import namespace="6f75032b-ea57-44ce-b644-28930771b020"/>
    <xsd:import namespace="ac6c4862-c9a9-4253-b5c2-9b2b74525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032b-ea57-44ce-b644-28930771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c4862-c9a9-4253-b5c2-9b2b745251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AFCD2-5F6D-4C44-8841-9A7195064444}"/>
</file>

<file path=customXml/itemProps2.xml><?xml version="1.0" encoding="utf-8"?>
<ds:datastoreItem xmlns:ds="http://schemas.openxmlformats.org/officeDocument/2006/customXml" ds:itemID="{1F4F4A98-7A9F-40F2-A15C-C3C54B536519}"/>
</file>

<file path=customXml/itemProps3.xml><?xml version="1.0" encoding="utf-8"?>
<ds:datastoreItem xmlns:ds="http://schemas.openxmlformats.org/officeDocument/2006/customXml" ds:itemID="{34FFE1D2-3B78-4DA2-8850-860A71A42968}"/>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1135</Characters>
  <Application>Microsoft Office Word</Application>
  <DocSecurity>0</DocSecurity>
  <Lines>9</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2021-03-10T16:22:00Z</dcterms:created>
  <dcterms:modified xsi:type="dcterms:W3CDTF">2021-03-10T16:22:00Z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0x0101003CFBC34DE0643A42B30C3857208698FE</vt:lpwstr>
  </property>
</Properties>
</file>